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E56E" w14:textId="77777777" w:rsidR="0037538B" w:rsidRDefault="009E5BC2" w:rsidP="009E5BC2">
      <w:pPr>
        <w:spacing w:after="0" w:line="480" w:lineRule="auto"/>
        <w:jc w:val="center"/>
        <w:rPr>
          <w:b/>
        </w:rPr>
      </w:pPr>
      <w:r>
        <w:rPr>
          <w:b/>
        </w:rPr>
        <w:t>Case Study</w:t>
      </w:r>
      <w:r w:rsidR="00636094">
        <w:rPr>
          <w:b/>
        </w:rPr>
        <w:t>/Ethnography Part 1</w:t>
      </w:r>
    </w:p>
    <w:p w14:paraId="1BC38348" w14:textId="77777777" w:rsidR="005E4876" w:rsidRDefault="005E4876" w:rsidP="00A376AF">
      <w:pPr>
        <w:spacing w:after="0" w:line="480" w:lineRule="auto"/>
        <w:rPr>
          <w:b/>
        </w:rPr>
      </w:pPr>
    </w:p>
    <w:p w14:paraId="36901E39" w14:textId="77777777" w:rsidR="00A376AF" w:rsidRPr="00A376AF" w:rsidRDefault="00A376AF" w:rsidP="00A376AF">
      <w:pPr>
        <w:spacing w:after="0" w:line="480" w:lineRule="auto"/>
        <w:rPr>
          <w:b/>
        </w:rPr>
      </w:pPr>
      <w:r w:rsidRPr="00A376AF">
        <w:rPr>
          <w:b/>
        </w:rPr>
        <w:t>Introduction</w:t>
      </w:r>
    </w:p>
    <w:p w14:paraId="51E44BF8" w14:textId="77777777" w:rsidR="00F71509" w:rsidRDefault="00A376AF" w:rsidP="00A376AF">
      <w:pPr>
        <w:spacing w:after="0" w:line="480" w:lineRule="auto"/>
      </w:pPr>
      <w:r>
        <w:tab/>
        <w:t xml:space="preserve">The purpose of this case study is to </w:t>
      </w:r>
      <w:r w:rsidR="00F71509">
        <w:t xml:space="preserve">evaluate </w:t>
      </w:r>
      <w:r>
        <w:t xml:space="preserve">the results of the </w:t>
      </w:r>
      <w:r w:rsidR="00F71509">
        <w:t xml:space="preserve">2013 </w:t>
      </w:r>
      <w:r>
        <w:t xml:space="preserve">California State Test </w:t>
      </w:r>
      <w:r w:rsidR="00AE2568">
        <w:t xml:space="preserve">(CST) </w:t>
      </w:r>
      <w:r>
        <w:t xml:space="preserve">at Vista High School to determine the </w:t>
      </w:r>
      <w:r w:rsidR="00AE2568">
        <w:t>s</w:t>
      </w:r>
      <w:r w:rsidR="0066498E">
        <w:t xml:space="preserve">chool’s current </w:t>
      </w:r>
      <w:r w:rsidR="00AE2568">
        <w:t xml:space="preserve">student achievement </w:t>
      </w:r>
      <w:r w:rsidR="00455179">
        <w:t>gaps</w:t>
      </w:r>
      <w:r w:rsidR="00AE2568">
        <w:t xml:space="preserve"> by </w:t>
      </w:r>
      <w:r w:rsidR="00556FF7">
        <w:t>socioeconomic status</w:t>
      </w:r>
      <w:r w:rsidR="00455179">
        <w:t>.</w:t>
      </w:r>
      <w:r w:rsidR="003F416B">
        <w:t xml:space="preserve">  </w:t>
      </w:r>
      <w:r w:rsidR="0066498E">
        <w:t xml:space="preserve">The analysis will highlight the </w:t>
      </w:r>
      <w:r w:rsidR="00AE2568">
        <w:t>level of</w:t>
      </w:r>
      <w:r w:rsidR="0066498E">
        <w:t xml:space="preserve"> proficient and advance performance between socioeconomically disadvantaged students and non-socioeconomically disadvantaged students</w:t>
      </w:r>
      <w:r w:rsidR="00AE2568">
        <w:t xml:space="preserve">.  The study will also analyze student socioeconomic status </w:t>
      </w:r>
      <w:r w:rsidR="00556FF7">
        <w:t>with</w:t>
      </w:r>
      <w:r w:rsidR="00AE2568">
        <w:t xml:space="preserve"> </w:t>
      </w:r>
      <w:r w:rsidR="00556FF7">
        <w:t>Hispanic or Latino decent</w:t>
      </w:r>
      <w:r w:rsidR="0066498E">
        <w:t>.</w:t>
      </w:r>
      <w:r w:rsidR="00AE2568">
        <w:t xml:space="preserve">  The CST results included in this case study will include English language arts, algebra I, geometry, and life science.  </w:t>
      </w:r>
      <w:r w:rsidR="0066498E">
        <w:t>The</w:t>
      </w:r>
      <w:r w:rsidR="00F71509">
        <w:t xml:space="preserve"> comparative analysis of </w:t>
      </w:r>
      <w:r w:rsidR="00C54748">
        <w:t xml:space="preserve">this cohort of </w:t>
      </w:r>
      <w:r w:rsidR="00F71509">
        <w:t xml:space="preserve">students will be the basis for a best practices action plan that will serve </w:t>
      </w:r>
      <w:r w:rsidR="00AE2568">
        <w:t>the needs of socio</w:t>
      </w:r>
      <w:r w:rsidR="00F71509">
        <w:t>economically disadvantaged Hispanic or Latino students at Vista High School.</w:t>
      </w:r>
    </w:p>
    <w:p w14:paraId="3E434C13" w14:textId="77777777" w:rsidR="00A376AF" w:rsidRDefault="005E4876" w:rsidP="00A376AF">
      <w:pPr>
        <w:spacing w:after="0" w:line="480" w:lineRule="auto"/>
        <w:rPr>
          <w:b/>
        </w:rPr>
      </w:pPr>
      <w:r>
        <w:rPr>
          <w:b/>
        </w:rPr>
        <w:t>Demographics</w:t>
      </w:r>
    </w:p>
    <w:p w14:paraId="36CA4CB8" w14:textId="77777777" w:rsidR="00556FF7" w:rsidRPr="0037538B" w:rsidRDefault="008100F8" w:rsidP="00A376AF">
      <w:pPr>
        <w:spacing w:after="0" w:line="480" w:lineRule="auto"/>
      </w:pPr>
      <w:r>
        <w:tab/>
      </w:r>
      <w:r w:rsidR="00FF089A">
        <w:t>Vista High School is</w:t>
      </w:r>
      <w:r w:rsidR="005E4876">
        <w:t xml:space="preserve"> the</w:t>
      </w:r>
      <w:r w:rsidR="00FF089A">
        <w:t xml:space="preserve"> oldest of three high schools in Vista Unified School District.  </w:t>
      </w:r>
      <w:r w:rsidR="003F416B">
        <w:t xml:space="preserve">It has a current enrollment of 2,564 students.  </w:t>
      </w:r>
      <w:r w:rsidR="00FF089A">
        <w:t xml:space="preserve">For the past decade, </w:t>
      </w:r>
      <w:r w:rsidR="00446B63">
        <w:t>there has been a steady decline in the percentage of Caucasian students and an increas</w:t>
      </w:r>
      <w:r w:rsidR="006206A7">
        <w:t xml:space="preserve">e in the percentage of Hispanic or </w:t>
      </w:r>
      <w:r w:rsidR="00446B63">
        <w:t>Latino students</w:t>
      </w:r>
      <w:r>
        <w:t xml:space="preserve"> </w:t>
      </w:r>
      <w:r w:rsidR="00F409E2">
        <w:t>(</w:t>
      </w:r>
      <w:r>
        <w:t>Figure 1</w:t>
      </w:r>
      <w:r w:rsidR="00F409E2">
        <w:t>)</w:t>
      </w:r>
      <w:r>
        <w:t xml:space="preserve">.  </w:t>
      </w:r>
      <w:r w:rsidR="003F416B">
        <w:t xml:space="preserve">Currently, at Vista High School </w:t>
      </w:r>
      <w:r w:rsidR="00C9169C">
        <w:t>62</w:t>
      </w:r>
      <w:r w:rsidR="003F416B">
        <w:t>.2</w:t>
      </w:r>
      <w:r w:rsidR="00C9169C">
        <w:t>% of the students are of Hispanic or Latino origin</w:t>
      </w:r>
      <w:r w:rsidR="003F416B">
        <w:t xml:space="preserve"> and 27.6% of the students </w:t>
      </w:r>
      <w:r w:rsidR="006206A7">
        <w:t xml:space="preserve">are </w:t>
      </w:r>
      <w:r w:rsidR="003F416B">
        <w:t>Caucasian</w:t>
      </w:r>
      <w:r w:rsidR="00C9169C">
        <w:t xml:space="preserve">.  </w:t>
      </w:r>
      <w:r w:rsidR="006206A7">
        <w:t xml:space="preserve">59.7% of </w:t>
      </w:r>
      <w:r w:rsidR="005E4876">
        <w:t xml:space="preserve">all of </w:t>
      </w:r>
      <w:r w:rsidR="006206A7">
        <w:t xml:space="preserve">the students are socioeconomically disadvantaged.  </w:t>
      </w:r>
      <w:r w:rsidR="00C9169C">
        <w:t>Of the students who are socioeconomically disadvantaged</w:t>
      </w:r>
      <w:r w:rsidR="003F416B">
        <w:t xml:space="preserve"> at Vista High School,</w:t>
      </w:r>
      <w:r w:rsidR="00C9169C">
        <w:t xml:space="preserve"> 84% of those students are also of Hispanic </w:t>
      </w:r>
      <w:r w:rsidR="006206A7">
        <w:t>or</w:t>
      </w:r>
      <w:r w:rsidR="00C9169C">
        <w:t xml:space="preserve"> Latino </w:t>
      </w:r>
      <w:r w:rsidR="003F416B">
        <w:t>decent</w:t>
      </w:r>
      <w:r w:rsidR="00C9169C">
        <w:t>.</w:t>
      </w:r>
      <w:r w:rsidR="006206A7">
        <w:t xml:space="preserve">  Students who are socioeconomically disadvantaged and are of Hispanic or Latino decent make up 50% of the student population at Vista High School</w:t>
      </w:r>
      <w:r w:rsidR="0037538B">
        <w:t>.</w:t>
      </w:r>
    </w:p>
    <w:p w14:paraId="09EE0431" w14:textId="77777777" w:rsidR="0037538B" w:rsidRDefault="00446B63" w:rsidP="00A376AF">
      <w:pPr>
        <w:spacing w:after="0" w:line="480" w:lineRule="auto"/>
        <w:rPr>
          <w:b/>
        </w:rPr>
      </w:pPr>
      <w:r w:rsidRPr="00446B63">
        <w:rPr>
          <w:b/>
        </w:rPr>
        <w:lastRenderedPageBreak/>
        <w:t xml:space="preserve">Figure 1: </w:t>
      </w:r>
      <w:r w:rsidR="0072534A" w:rsidRPr="00446B63">
        <w:rPr>
          <w:b/>
        </w:rPr>
        <w:t xml:space="preserve">VHS percent demographics </w:t>
      </w:r>
      <w:r w:rsidR="0037538B">
        <w:rPr>
          <w:b/>
        </w:rPr>
        <w:t>from 2002-2013</w:t>
      </w:r>
    </w:p>
    <w:p w14:paraId="0B237B02" w14:textId="77777777" w:rsidR="0037538B" w:rsidRDefault="0037538B" w:rsidP="00A376AF">
      <w:pPr>
        <w:spacing w:after="0" w:line="480" w:lineRule="auto"/>
        <w:rPr>
          <w:b/>
        </w:rPr>
      </w:pPr>
      <w:r w:rsidRPr="00FF089A">
        <w:rPr>
          <w:noProof/>
          <w:lang w:eastAsia="en-US"/>
        </w:rPr>
        <w:drawing>
          <wp:anchor distT="0" distB="0" distL="114300" distR="114300" simplePos="0" relativeHeight="251658240" behindDoc="0" locked="0" layoutInCell="1" allowOverlap="1" wp14:anchorId="3F3C9BAF" wp14:editId="132D5335">
            <wp:simplePos x="0" y="0"/>
            <wp:positionH relativeFrom="column">
              <wp:posOffset>0</wp:posOffset>
            </wp:positionH>
            <wp:positionV relativeFrom="paragraph">
              <wp:posOffset>99695</wp:posOffset>
            </wp:positionV>
            <wp:extent cx="5715000" cy="2984500"/>
            <wp:effectExtent l="0" t="0" r="25400" b="127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p>
    <w:p w14:paraId="6B32BFD6" w14:textId="77777777" w:rsidR="00360760" w:rsidRPr="0037538B" w:rsidRDefault="00360760" w:rsidP="00A376AF">
      <w:pPr>
        <w:spacing w:after="0" w:line="480" w:lineRule="auto"/>
        <w:rPr>
          <w:b/>
        </w:rPr>
      </w:pPr>
      <w:r w:rsidRPr="00556FF7">
        <w:rPr>
          <w:b/>
        </w:rPr>
        <w:t>Data Analysis</w:t>
      </w:r>
    </w:p>
    <w:p w14:paraId="14F652DB" w14:textId="77777777" w:rsidR="00B55D39" w:rsidRDefault="00556FF7" w:rsidP="00A376AF">
      <w:pPr>
        <w:spacing w:after="0" w:line="480" w:lineRule="auto"/>
      </w:pPr>
      <w:r>
        <w:tab/>
        <w:t>The No Child Left Behind (</w:t>
      </w:r>
      <w:r w:rsidR="003D0B4B">
        <w:t xml:space="preserve">NCLB) Act established in 2001 was established </w:t>
      </w:r>
      <w:r>
        <w:t xml:space="preserve">to measure accountability in </w:t>
      </w:r>
      <w:r w:rsidR="003D0B4B">
        <w:t xml:space="preserve">our nation’s </w:t>
      </w:r>
      <w:r>
        <w:t>schools.  In California, the Academic Performanc</w:t>
      </w:r>
      <w:r w:rsidR="0037538B">
        <w:t>e Index (API) is California’s</w:t>
      </w:r>
      <w:r w:rsidR="00266C17">
        <w:t xml:space="preserve"> indicator that</w:t>
      </w:r>
      <w:r>
        <w:t xml:space="preserve"> </w:t>
      </w:r>
      <w:r w:rsidR="005E4876">
        <w:t>determines</w:t>
      </w:r>
      <w:r>
        <w:t xml:space="preserve"> the achievement of a school.  </w:t>
      </w:r>
      <w:r w:rsidR="00266C17">
        <w:t xml:space="preserve">Vista High School’s API score for 2012-2013 was 739.  This was a decrease from the previous year by 15 points.  While participation rates for the 2013 CST were high (98%), Vista High School did not meet the goals for Adequate Yearly Progress (AYP) as mandated by the federal government </w:t>
      </w:r>
      <w:r w:rsidR="005E4876">
        <w:t>by</w:t>
      </w:r>
      <w:r w:rsidR="00266C17">
        <w:t xml:space="preserve"> satisfying only 13 of 26 A</w:t>
      </w:r>
      <w:r w:rsidR="003D0B4B">
        <w:t xml:space="preserve">YP criteria.  The API scores for </w:t>
      </w:r>
      <w:r w:rsidR="00266C17">
        <w:t>socioeconomically disadvantaged students deceased 3 points from 692 in 2012 to 683 in 2013.</w:t>
      </w:r>
      <w:r w:rsidR="00B55D39">
        <w:t xml:space="preserve">  </w:t>
      </w:r>
      <w:r w:rsidR="00266C17">
        <w:t xml:space="preserve">The following figures compare the 2013 CST </w:t>
      </w:r>
      <w:r w:rsidR="003D0B4B">
        <w:t>9</w:t>
      </w:r>
      <w:r w:rsidR="003D0B4B" w:rsidRPr="003D0B4B">
        <w:rPr>
          <w:vertAlign w:val="superscript"/>
        </w:rPr>
        <w:t>th</w:t>
      </w:r>
      <w:r w:rsidR="003D0B4B">
        <w:t>, 10</w:t>
      </w:r>
      <w:r w:rsidR="003D0B4B" w:rsidRPr="003D0B4B">
        <w:rPr>
          <w:vertAlign w:val="superscript"/>
        </w:rPr>
        <w:t>th</w:t>
      </w:r>
      <w:r w:rsidR="003D0B4B">
        <w:t>, and 11</w:t>
      </w:r>
      <w:r w:rsidR="003D0B4B" w:rsidRPr="003D0B4B">
        <w:rPr>
          <w:vertAlign w:val="superscript"/>
        </w:rPr>
        <w:t>th</w:t>
      </w:r>
      <w:r w:rsidR="003D0B4B">
        <w:t xml:space="preserve"> grade </w:t>
      </w:r>
      <w:r w:rsidR="00266C17">
        <w:t xml:space="preserve">proficient and advanced results </w:t>
      </w:r>
      <w:r w:rsidR="003D0B4B">
        <w:t>for</w:t>
      </w:r>
      <w:r w:rsidR="00266C17">
        <w:t xml:space="preserve"> economically disadvantaged, economically disadvantaged Hispanic or Latino, not</w:t>
      </w:r>
      <w:r w:rsidR="0037538B">
        <w:t xml:space="preserve"> </w:t>
      </w:r>
      <w:r w:rsidR="00266C17">
        <w:t xml:space="preserve">economically disadvantaged, and not economically disadvantaged Hispanic or Latino groups in the subjects of English language arts, algebra I, geometry, and life science.  </w:t>
      </w:r>
    </w:p>
    <w:p w14:paraId="48D5546E" w14:textId="77777777" w:rsidR="00266C17" w:rsidRDefault="00B55D39" w:rsidP="00A376AF">
      <w:pPr>
        <w:spacing w:after="0" w:line="480" w:lineRule="auto"/>
      </w:pPr>
      <w:r>
        <w:tab/>
      </w:r>
      <w:r w:rsidR="00D23AB4">
        <w:t>Figure 2 shows that t</w:t>
      </w:r>
      <w:r w:rsidR="003D0B4B">
        <w:t>he not economically disadvantaged</w:t>
      </w:r>
      <w:r w:rsidR="00D23AB4">
        <w:t xml:space="preserve"> cohort</w:t>
      </w:r>
      <w:r w:rsidR="003D0B4B">
        <w:t xml:space="preserve"> performed at a profici</w:t>
      </w:r>
      <w:r w:rsidR="00D23AB4">
        <w:t>ent or advanced achievement of</w:t>
      </w:r>
      <w:r w:rsidR="003D0B4B">
        <w:t xml:space="preserve"> </w:t>
      </w:r>
      <w:r w:rsidR="00D23AB4">
        <w:t>79% for 9</w:t>
      </w:r>
      <w:r w:rsidR="00D23AB4">
        <w:rPr>
          <w:vertAlign w:val="superscript"/>
        </w:rPr>
        <w:t xml:space="preserve">th </w:t>
      </w:r>
      <w:r w:rsidR="00D23AB4">
        <w:t>grade, 71% for 10</w:t>
      </w:r>
      <w:r w:rsidR="00D23AB4" w:rsidRPr="00D23AB4">
        <w:rPr>
          <w:vertAlign w:val="superscript"/>
        </w:rPr>
        <w:t>th</w:t>
      </w:r>
      <w:r w:rsidR="00D23AB4">
        <w:t xml:space="preserve"> grade, and 66% for 11</w:t>
      </w:r>
      <w:r w:rsidR="00D23AB4" w:rsidRPr="00D23AB4">
        <w:rPr>
          <w:vertAlign w:val="superscript"/>
        </w:rPr>
        <w:t>th</w:t>
      </w:r>
      <w:r w:rsidR="00D23AB4">
        <w:t xml:space="preserve"> grade while the economically disadvantaged group </w:t>
      </w:r>
      <w:r w:rsidR="00277DF8">
        <w:t>dropped by almost half by achieving</w:t>
      </w:r>
      <w:r w:rsidR="00D23AB4">
        <w:t xml:space="preserve"> 54% for 9</w:t>
      </w:r>
      <w:r w:rsidR="00D23AB4" w:rsidRPr="00D23AB4">
        <w:rPr>
          <w:vertAlign w:val="superscript"/>
        </w:rPr>
        <w:t>th</w:t>
      </w:r>
      <w:r w:rsidR="00D23AB4">
        <w:t>, 39% for 10</w:t>
      </w:r>
      <w:r w:rsidR="00D23AB4" w:rsidRPr="00D23AB4">
        <w:rPr>
          <w:vertAlign w:val="superscript"/>
        </w:rPr>
        <w:t>th</w:t>
      </w:r>
      <w:r w:rsidR="00D23AB4">
        <w:t xml:space="preserve"> grade, and 36</w:t>
      </w:r>
      <w:r w:rsidR="00D23AB4">
        <w:rPr>
          <w:vertAlign w:val="superscript"/>
        </w:rPr>
        <w:t xml:space="preserve">% </w:t>
      </w:r>
      <w:r w:rsidR="00D23AB4">
        <w:t>for 11</w:t>
      </w:r>
      <w:r w:rsidR="00D23AB4" w:rsidRPr="00D23AB4">
        <w:rPr>
          <w:vertAlign w:val="superscript"/>
        </w:rPr>
        <w:t>th</w:t>
      </w:r>
      <w:r w:rsidR="00D23AB4">
        <w:t xml:space="preserve"> grade</w:t>
      </w:r>
      <w:r w:rsidR="003D0B4B">
        <w:t xml:space="preserve">. </w:t>
      </w:r>
      <w:r w:rsidR="00D23AB4">
        <w:t>When accounting for ethnicity, the Hispanic o</w:t>
      </w:r>
      <w:r w:rsidR="00277DF8">
        <w:t>r Latino population student</w:t>
      </w:r>
      <w:r w:rsidR="0037538B">
        <w:t>’</w:t>
      </w:r>
      <w:r w:rsidR="00277DF8">
        <w:t>s achievement plummeted.  Students who</w:t>
      </w:r>
      <w:r w:rsidR="00D23AB4">
        <w:t xml:space="preserve"> were not economical</w:t>
      </w:r>
      <w:r w:rsidR="00277DF8">
        <w:t xml:space="preserve">ly disadvantaged performed at </w:t>
      </w:r>
      <w:r w:rsidR="00D23AB4">
        <w:t>9% for 9</w:t>
      </w:r>
      <w:r w:rsidR="00D23AB4" w:rsidRPr="00D23AB4">
        <w:rPr>
          <w:vertAlign w:val="superscript"/>
        </w:rPr>
        <w:t>th</w:t>
      </w:r>
      <w:r w:rsidR="00D23AB4">
        <w:t xml:space="preserve"> grade, and 0% for 10</w:t>
      </w:r>
      <w:r w:rsidR="00D23AB4" w:rsidRPr="00D23AB4">
        <w:rPr>
          <w:vertAlign w:val="superscript"/>
        </w:rPr>
        <w:t>th</w:t>
      </w:r>
      <w:r w:rsidR="00D23AB4">
        <w:t xml:space="preserve"> grade while economically disadvantaged Hispanic or Latino students achieved 4% in 9</w:t>
      </w:r>
      <w:r w:rsidR="00D23AB4" w:rsidRPr="00D23AB4">
        <w:rPr>
          <w:vertAlign w:val="superscript"/>
        </w:rPr>
        <w:t>th</w:t>
      </w:r>
      <w:r w:rsidR="00D23AB4">
        <w:t>, and 2% for both 10</w:t>
      </w:r>
      <w:r w:rsidR="00D23AB4" w:rsidRPr="00D23AB4">
        <w:rPr>
          <w:vertAlign w:val="superscript"/>
        </w:rPr>
        <w:t>th</w:t>
      </w:r>
      <w:r w:rsidR="00D23AB4">
        <w:t xml:space="preserve"> and 11</w:t>
      </w:r>
      <w:r w:rsidR="00D23AB4" w:rsidRPr="00D23AB4">
        <w:rPr>
          <w:vertAlign w:val="superscript"/>
        </w:rPr>
        <w:t>th</w:t>
      </w:r>
      <w:r w:rsidR="00D23AB4">
        <w:t xml:space="preserve"> grades.  </w:t>
      </w:r>
    </w:p>
    <w:p w14:paraId="3B14D4A1" w14:textId="77777777" w:rsidR="00B330FA" w:rsidRPr="007915A0" w:rsidRDefault="00AE2568" w:rsidP="00A376AF">
      <w:pPr>
        <w:spacing w:after="0" w:line="480" w:lineRule="auto"/>
        <w:rPr>
          <w:b/>
        </w:rPr>
      </w:pPr>
      <w:r>
        <w:rPr>
          <w:b/>
        </w:rPr>
        <w:t xml:space="preserve">Figure 2: </w:t>
      </w:r>
      <w:r w:rsidR="00B330FA" w:rsidRPr="007915A0">
        <w:rPr>
          <w:b/>
        </w:rPr>
        <w:t xml:space="preserve">2013 </w:t>
      </w:r>
      <w:r w:rsidR="007915A0">
        <w:rPr>
          <w:b/>
        </w:rPr>
        <w:t xml:space="preserve">VHS </w:t>
      </w:r>
      <w:r w:rsidR="00B330FA" w:rsidRPr="007915A0">
        <w:rPr>
          <w:b/>
        </w:rPr>
        <w:t>STAR results – English Language Arts</w:t>
      </w:r>
      <w:r w:rsidR="00FC7AAB" w:rsidRPr="007915A0">
        <w:rPr>
          <w:b/>
        </w:rPr>
        <w:t>, proficient and advanced</w:t>
      </w:r>
    </w:p>
    <w:p w14:paraId="292E0812" w14:textId="77777777" w:rsidR="008100F8" w:rsidRDefault="0066498E" w:rsidP="00A376AF">
      <w:pPr>
        <w:spacing w:after="0" w:line="480" w:lineRule="auto"/>
      </w:pPr>
      <w:r>
        <w:rPr>
          <w:noProof/>
          <w:lang w:eastAsia="en-US"/>
        </w:rPr>
        <w:drawing>
          <wp:inline distT="0" distB="0" distL="0" distR="0" wp14:anchorId="4CDDC86F" wp14:editId="41A864B8">
            <wp:extent cx="5943600" cy="2463800"/>
            <wp:effectExtent l="0" t="0" r="254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65F85D60" w14:textId="77777777" w:rsidR="0072534A" w:rsidRDefault="00B55D39" w:rsidP="00A376AF">
      <w:pPr>
        <w:spacing w:after="0" w:line="480" w:lineRule="auto"/>
      </w:pPr>
      <w:r>
        <w:tab/>
      </w:r>
      <w:r w:rsidR="00277DF8">
        <w:t xml:space="preserve">Figure 3 depicts the percentage of students who achieved proficient or advanced in algebra I.  </w:t>
      </w:r>
      <w:r>
        <w:t>This graph shows that 9</w:t>
      </w:r>
      <w:r w:rsidRPr="00B55D39">
        <w:rPr>
          <w:vertAlign w:val="superscript"/>
        </w:rPr>
        <w:t>th</w:t>
      </w:r>
      <w:r>
        <w:t xml:space="preserve"> grade students who are not economically disadvantaged achieved a performance of 10% and the not economically disadvantaged Hispanic or Latino achieved 9%.  While the economically disadvantaged 10</w:t>
      </w:r>
      <w:r w:rsidRPr="00B55D39">
        <w:rPr>
          <w:vertAlign w:val="superscript"/>
        </w:rPr>
        <w:t>th</w:t>
      </w:r>
      <w:r>
        <w:t xml:space="preserve"> grade achieved a higher percentage of achievement of 2% versus their 10</w:t>
      </w:r>
      <w:r w:rsidRPr="00B55D39">
        <w:rPr>
          <w:vertAlign w:val="superscript"/>
        </w:rPr>
        <w:t>th</w:t>
      </w:r>
      <w:r>
        <w:t xml:space="preserve"> grade counterpart, the overall number of 2% is extremely low.  </w:t>
      </w:r>
    </w:p>
    <w:p w14:paraId="0423069E" w14:textId="77777777" w:rsidR="008100F8" w:rsidRPr="007915A0" w:rsidRDefault="00AE2568" w:rsidP="00A376AF">
      <w:pPr>
        <w:spacing w:after="0" w:line="480" w:lineRule="auto"/>
        <w:rPr>
          <w:b/>
        </w:rPr>
      </w:pPr>
      <w:r>
        <w:rPr>
          <w:b/>
        </w:rPr>
        <w:t xml:space="preserve">Figure 3: </w:t>
      </w:r>
      <w:r w:rsidR="00B330FA" w:rsidRPr="007915A0">
        <w:rPr>
          <w:b/>
        </w:rPr>
        <w:t xml:space="preserve">2013 </w:t>
      </w:r>
      <w:r w:rsidR="007915A0">
        <w:rPr>
          <w:b/>
        </w:rPr>
        <w:t xml:space="preserve">VHS </w:t>
      </w:r>
      <w:r w:rsidR="00B330FA" w:rsidRPr="007915A0">
        <w:rPr>
          <w:b/>
        </w:rPr>
        <w:t>STAR results – Algebra I</w:t>
      </w:r>
      <w:r w:rsidR="00FC7AAB" w:rsidRPr="007915A0">
        <w:rPr>
          <w:b/>
        </w:rPr>
        <w:t>, proficient and advanced</w:t>
      </w:r>
    </w:p>
    <w:p w14:paraId="4EC18D9A" w14:textId="77777777" w:rsidR="008100F8" w:rsidRDefault="00B330FA" w:rsidP="00A376AF">
      <w:pPr>
        <w:spacing w:after="0" w:line="480" w:lineRule="auto"/>
      </w:pPr>
      <w:r>
        <w:rPr>
          <w:noProof/>
          <w:lang w:eastAsia="en-US"/>
        </w:rPr>
        <w:drawing>
          <wp:inline distT="0" distB="0" distL="0" distR="0" wp14:anchorId="22CD5E83" wp14:editId="6A31DA27">
            <wp:extent cx="5943600" cy="2362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621B3E" w14:textId="77777777" w:rsidR="00B55D39" w:rsidRDefault="00587A4B" w:rsidP="00A376AF">
      <w:pPr>
        <w:spacing w:after="0" w:line="480" w:lineRule="auto"/>
      </w:pPr>
      <w:r>
        <w:tab/>
      </w:r>
      <w:r w:rsidR="00B55D39">
        <w:t xml:space="preserve">Figure 4 tells a different story about </w:t>
      </w:r>
      <w:r w:rsidR="004C36E6">
        <w:t>math at Vista High School.  Non-</w:t>
      </w:r>
      <w:r w:rsidR="00B55D39">
        <w:t>economically disadvantaged students achieved a 47% in 9</w:t>
      </w:r>
      <w:r w:rsidR="00B55D39" w:rsidRPr="00B55D39">
        <w:rPr>
          <w:vertAlign w:val="superscript"/>
        </w:rPr>
        <w:t>th</w:t>
      </w:r>
      <w:r w:rsidR="00B55D39">
        <w:t>, 10% in 10</w:t>
      </w:r>
      <w:r w:rsidR="00B55D39" w:rsidRPr="00B55D39">
        <w:rPr>
          <w:vertAlign w:val="superscript"/>
        </w:rPr>
        <w:t>th</w:t>
      </w:r>
      <w:r w:rsidR="00B55D39">
        <w:t>, and 9% in 11</w:t>
      </w:r>
      <w:r w:rsidR="00B55D39" w:rsidRPr="00B55D39">
        <w:rPr>
          <w:vertAlign w:val="superscript"/>
        </w:rPr>
        <w:t>th</w:t>
      </w:r>
      <w:r w:rsidR="00B55D39">
        <w:t xml:space="preserve"> grades.  When factoring in </w:t>
      </w:r>
      <w:r w:rsidR="004C36E6">
        <w:t>Hispanic or Latino students, the numbers for 9</w:t>
      </w:r>
      <w:r w:rsidR="004C36E6" w:rsidRPr="004C36E6">
        <w:rPr>
          <w:vertAlign w:val="superscript"/>
        </w:rPr>
        <w:t>th</w:t>
      </w:r>
      <w:r w:rsidR="004C36E6">
        <w:t xml:space="preserve"> grade drops more than half to 20% and the 10</w:t>
      </w:r>
      <w:r w:rsidR="004C36E6" w:rsidRPr="004C36E6">
        <w:rPr>
          <w:vertAlign w:val="superscript"/>
        </w:rPr>
        <w:t>th</w:t>
      </w:r>
      <w:r w:rsidR="004C36E6">
        <w:t xml:space="preserve"> grade result is similar to the not economically disadvantaged at 9%.  </w:t>
      </w:r>
    </w:p>
    <w:p w14:paraId="38BC129C" w14:textId="77777777" w:rsidR="004337AC" w:rsidRPr="007915A0" w:rsidRDefault="00AE2568" w:rsidP="00A376AF">
      <w:pPr>
        <w:spacing w:after="0" w:line="480" w:lineRule="auto"/>
        <w:rPr>
          <w:b/>
        </w:rPr>
      </w:pPr>
      <w:r>
        <w:rPr>
          <w:b/>
        </w:rPr>
        <w:t xml:space="preserve">Figure 4: </w:t>
      </w:r>
      <w:r w:rsidR="004337AC" w:rsidRPr="007915A0">
        <w:rPr>
          <w:b/>
        </w:rPr>
        <w:t xml:space="preserve">2013 </w:t>
      </w:r>
      <w:r w:rsidR="007915A0">
        <w:rPr>
          <w:b/>
        </w:rPr>
        <w:t xml:space="preserve">VHS </w:t>
      </w:r>
      <w:r w:rsidR="004337AC" w:rsidRPr="007915A0">
        <w:rPr>
          <w:b/>
        </w:rPr>
        <w:t>STAR Results - Geometry</w:t>
      </w:r>
      <w:r w:rsidR="00FC7AAB" w:rsidRPr="007915A0">
        <w:rPr>
          <w:b/>
        </w:rPr>
        <w:t>, proficient and advanced</w:t>
      </w:r>
    </w:p>
    <w:p w14:paraId="2222B288" w14:textId="77777777" w:rsidR="008100F8" w:rsidRDefault="00587A4B" w:rsidP="00A376AF">
      <w:pPr>
        <w:spacing w:after="0" w:line="480" w:lineRule="auto"/>
      </w:pPr>
      <w:r>
        <w:rPr>
          <w:noProof/>
          <w:lang w:eastAsia="en-US"/>
        </w:rPr>
        <w:drawing>
          <wp:inline distT="0" distB="0" distL="0" distR="0" wp14:anchorId="579DBB00" wp14:editId="75FF3D41">
            <wp:extent cx="5943600" cy="2616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27C64D" w14:textId="77777777" w:rsidR="004C36E6" w:rsidRDefault="00587A4B" w:rsidP="00A376AF">
      <w:pPr>
        <w:spacing w:after="0" w:line="480" w:lineRule="auto"/>
      </w:pPr>
      <w:r>
        <w:t>Economically disadvantaged student performance numbers drop with the most success occurring in 9</w:t>
      </w:r>
      <w:r w:rsidRPr="004C36E6">
        <w:rPr>
          <w:vertAlign w:val="superscript"/>
        </w:rPr>
        <w:t>th</w:t>
      </w:r>
      <w:r>
        <w:t xml:space="preserve"> grade at 19% for economically disadvantaged and 18% for economically disadvantaged Hispanic or Latino students.  11</w:t>
      </w:r>
      <w:r w:rsidRPr="004C36E6">
        <w:rPr>
          <w:vertAlign w:val="superscript"/>
        </w:rPr>
        <w:t>th</w:t>
      </w:r>
      <w:r>
        <w:t xml:space="preserve"> graders who had taken the </w:t>
      </w:r>
      <w:r w:rsidR="004C36E6">
        <w:t xml:space="preserve">geometry CST at Vista High School had 0% of </w:t>
      </w:r>
      <w:r>
        <w:t>the students at proficient or advanced.</w:t>
      </w:r>
    </w:p>
    <w:p w14:paraId="18EF48F9" w14:textId="77777777" w:rsidR="004C36E6" w:rsidRPr="004C36E6" w:rsidRDefault="004C36E6" w:rsidP="00A376AF">
      <w:pPr>
        <w:spacing w:after="0" w:line="480" w:lineRule="auto"/>
      </w:pPr>
      <w:r>
        <w:rPr>
          <w:b/>
        </w:rPr>
        <w:tab/>
      </w:r>
      <w:r w:rsidR="00587A4B">
        <w:t>Even though a majority of CST tests will be omitted this year because of the new Common Core State Standards, t</w:t>
      </w:r>
      <w:r>
        <w:t>he results from the 10</w:t>
      </w:r>
      <w:r w:rsidRPr="004C36E6">
        <w:rPr>
          <w:vertAlign w:val="superscript"/>
        </w:rPr>
        <w:t>th</w:t>
      </w:r>
      <w:r>
        <w:t xml:space="preserve"> grade life science CST is included </w:t>
      </w:r>
      <w:r w:rsidR="00587A4B">
        <w:t>in this case study</w:t>
      </w:r>
      <w:r>
        <w:t xml:space="preserve"> because it will still be a measurement used by Vista High School for the 2013-2014 school year.  The results from Figure 5 show that non-economically disadvantaged students performed at 62% while the Hispanics or Latinos within that group performed at 56%.  Economically disadvantaged students performed at 36% while the Hispanic or Latino population within this group performed at 33%.  While the performance of </w:t>
      </w:r>
      <w:r w:rsidR="0037538B">
        <w:t>these groups was higher than the mathematics scores, the economically disadvantaged group performed at levels that are almost half of that as students who are not economically disadvantaged.</w:t>
      </w:r>
    </w:p>
    <w:p w14:paraId="2ECF397F" w14:textId="77777777" w:rsidR="009A4C1F" w:rsidRPr="007915A0" w:rsidRDefault="00AE2568" w:rsidP="00A376AF">
      <w:pPr>
        <w:spacing w:after="0" w:line="480" w:lineRule="auto"/>
        <w:rPr>
          <w:b/>
        </w:rPr>
      </w:pPr>
      <w:r>
        <w:rPr>
          <w:b/>
        </w:rPr>
        <w:t xml:space="preserve">Figure 5: </w:t>
      </w:r>
      <w:r w:rsidR="009A4C1F" w:rsidRPr="007915A0">
        <w:rPr>
          <w:b/>
        </w:rPr>
        <w:t xml:space="preserve">2013 </w:t>
      </w:r>
      <w:r w:rsidR="007915A0">
        <w:rPr>
          <w:b/>
        </w:rPr>
        <w:t xml:space="preserve">VHS </w:t>
      </w:r>
      <w:r w:rsidR="009A4C1F" w:rsidRPr="007915A0">
        <w:rPr>
          <w:b/>
        </w:rPr>
        <w:t>STAR results – 10</w:t>
      </w:r>
      <w:r w:rsidR="009A4C1F" w:rsidRPr="007915A0">
        <w:rPr>
          <w:b/>
          <w:vertAlign w:val="superscript"/>
        </w:rPr>
        <w:t>th</w:t>
      </w:r>
      <w:r w:rsidR="009A4C1F" w:rsidRPr="007915A0">
        <w:rPr>
          <w:b/>
        </w:rPr>
        <w:t xml:space="preserve"> grade Life Science</w:t>
      </w:r>
      <w:r w:rsidR="00FC7AAB" w:rsidRPr="007915A0">
        <w:rPr>
          <w:b/>
        </w:rPr>
        <w:t>, proficient and advanced</w:t>
      </w:r>
    </w:p>
    <w:p w14:paraId="5EDD8A16" w14:textId="77777777" w:rsidR="001A0691" w:rsidRDefault="009A4C1F" w:rsidP="00A376AF">
      <w:pPr>
        <w:spacing w:after="0" w:line="480" w:lineRule="auto"/>
      </w:pPr>
      <w:r>
        <w:t xml:space="preserve"> </w:t>
      </w:r>
      <w:r w:rsidR="00FC7AAB">
        <w:rPr>
          <w:noProof/>
          <w:lang w:eastAsia="en-US"/>
        </w:rPr>
        <w:drawing>
          <wp:inline distT="0" distB="0" distL="0" distR="0" wp14:anchorId="1AE626EB" wp14:editId="39E561FB">
            <wp:extent cx="5676900" cy="2641600"/>
            <wp:effectExtent l="0" t="0" r="127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075CBC" w14:textId="77777777" w:rsidR="008100F8" w:rsidRPr="00587A4B" w:rsidRDefault="00587A4B" w:rsidP="008100F8">
      <w:pPr>
        <w:tabs>
          <w:tab w:val="left" w:pos="2204"/>
        </w:tabs>
        <w:rPr>
          <w:b/>
        </w:rPr>
      </w:pPr>
      <w:r w:rsidRPr="00587A4B">
        <w:rPr>
          <w:b/>
        </w:rPr>
        <w:t>Conclusion</w:t>
      </w:r>
    </w:p>
    <w:p w14:paraId="597D83F8" w14:textId="77777777" w:rsidR="00825F29" w:rsidRPr="008100F8" w:rsidRDefault="00587A4B" w:rsidP="00636094">
      <w:pPr>
        <w:tabs>
          <w:tab w:val="left" w:pos="0"/>
        </w:tabs>
        <w:spacing w:after="0" w:line="480" w:lineRule="auto"/>
      </w:pPr>
      <w:r>
        <w:tab/>
        <w:t>The results from the data analysis show that economically disadvantaged groups at Vista High School perform at a level that is almost half of that of groups that are n</w:t>
      </w:r>
      <w:r w:rsidR="009E5BC2">
        <w:t>ot economically disadvantaged and Hispanic or Latino students perform at extremely low levels in English language arts when compared to their peers.  This data also shows that 10</w:t>
      </w:r>
      <w:r w:rsidR="009E5BC2" w:rsidRPr="009E5BC2">
        <w:rPr>
          <w:vertAlign w:val="superscript"/>
        </w:rPr>
        <w:t>th</w:t>
      </w:r>
      <w:r w:rsidR="009E5BC2">
        <w:t xml:space="preserve"> grade and 11</w:t>
      </w:r>
      <w:r w:rsidR="009E5BC2" w:rsidRPr="009E5BC2">
        <w:rPr>
          <w:vertAlign w:val="superscript"/>
        </w:rPr>
        <w:t>th</w:t>
      </w:r>
      <w:r w:rsidR="009E5BC2">
        <w:t xml:space="preserve"> grade students who take algebra I or geometry are less likely to achieve when compared to students who take these classes as 9</w:t>
      </w:r>
      <w:r w:rsidR="009E5BC2" w:rsidRPr="009E5BC2">
        <w:rPr>
          <w:vertAlign w:val="superscript"/>
        </w:rPr>
        <w:t>th</w:t>
      </w:r>
      <w:r w:rsidR="009E5BC2">
        <w:t xml:space="preserve"> graders.  The school is in the process of developing comprehensive professional learning communities (PLC) that aim to create </w:t>
      </w:r>
      <w:r w:rsidR="00636094">
        <w:t>common formative assessments that will analyze student data for understanding</w:t>
      </w:r>
      <w:r w:rsidR="00C61915">
        <w:t xml:space="preserve"> to benefit all students</w:t>
      </w:r>
      <w:r w:rsidR="00636094">
        <w:t>.  The district is also in the process of instituting i</w:t>
      </w:r>
      <w:r w:rsidR="009E5BC2">
        <w:t>nstructional rounds</w:t>
      </w:r>
      <w:r w:rsidR="00636094">
        <w:t>, a peer based observational method based on the practice of medicine,</w:t>
      </w:r>
      <w:r w:rsidR="009E5BC2">
        <w:t xml:space="preserve"> </w:t>
      </w:r>
      <w:r w:rsidR="00636094">
        <w:t>that will provide Vista High School feedback on their problem of practice.</w:t>
      </w:r>
      <w:r w:rsidR="009E5BC2">
        <w:t xml:space="preserve"> </w:t>
      </w:r>
      <w:r w:rsidR="00636094">
        <w:t>As schools move to the nationally adopted common core standards that will require students to use critical thinking and higher order skills on state exams, teachers will have to adapt their formative assessments to align with the new computer ba</w:t>
      </w:r>
      <w:r w:rsidR="00C61915">
        <w:t>sed tests.  The analysis of CST data</w:t>
      </w:r>
      <w:r w:rsidR="00636094">
        <w:t xml:space="preserve"> will be used to create an action plan that will address the achievement gap between economically disadvantaged and non-economically disadvantaged Hispanic or Latino students</w:t>
      </w:r>
      <w:r w:rsidR="005E4876">
        <w:t xml:space="preserve"> by implementing research based best practices.</w:t>
      </w:r>
    </w:p>
    <w:sectPr w:rsidR="00825F29" w:rsidRPr="008100F8" w:rsidSect="003F416B">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D277A" w14:textId="77777777" w:rsidR="00A40B50" w:rsidRDefault="00A40B50" w:rsidP="0037538B">
      <w:pPr>
        <w:spacing w:after="0"/>
      </w:pPr>
      <w:r>
        <w:separator/>
      </w:r>
    </w:p>
  </w:endnote>
  <w:endnote w:type="continuationSeparator" w:id="0">
    <w:p w14:paraId="1C2C0877" w14:textId="77777777" w:rsidR="00A40B50" w:rsidRDefault="00A40B50" w:rsidP="00375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F70D4" w14:textId="77777777" w:rsidR="00A40B50" w:rsidRDefault="00A40B50" w:rsidP="0037538B">
      <w:pPr>
        <w:spacing w:after="0"/>
      </w:pPr>
      <w:r>
        <w:separator/>
      </w:r>
    </w:p>
  </w:footnote>
  <w:footnote w:type="continuationSeparator" w:id="0">
    <w:p w14:paraId="1E42BC44" w14:textId="77777777" w:rsidR="00A40B50" w:rsidRDefault="00A40B50" w:rsidP="0037538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BC63" w14:textId="77777777" w:rsidR="00A40B50" w:rsidRPr="009E5BC2" w:rsidRDefault="00A40B50" w:rsidP="0037538B">
    <w:pPr>
      <w:pStyle w:val="Header"/>
      <w:jc w:val="right"/>
    </w:pPr>
    <w:r w:rsidRPr="009E5BC2">
      <w:t>O</w:t>
    </w:r>
    <w:r>
      <w:t xml:space="preserve">rtiz-Luis </w:t>
    </w:r>
    <w:r>
      <w:rPr>
        <w:rStyle w:val="PageNumber"/>
      </w:rPr>
      <w:fldChar w:fldCharType="begin"/>
    </w:r>
    <w:r>
      <w:rPr>
        <w:rStyle w:val="PageNumber"/>
      </w:rPr>
      <w:instrText xml:space="preserve"> PAGE </w:instrText>
    </w:r>
    <w:r>
      <w:rPr>
        <w:rStyle w:val="PageNumber"/>
      </w:rPr>
      <w:fldChar w:fldCharType="separate"/>
    </w:r>
    <w:r w:rsidR="00A00B16">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AF"/>
    <w:rsid w:val="001A0691"/>
    <w:rsid w:val="001A0EC4"/>
    <w:rsid w:val="001E17E8"/>
    <w:rsid w:val="00266C17"/>
    <w:rsid w:val="00277DF8"/>
    <w:rsid w:val="00327AF5"/>
    <w:rsid w:val="00360760"/>
    <w:rsid w:val="0037538B"/>
    <w:rsid w:val="003B1C98"/>
    <w:rsid w:val="003D0B4B"/>
    <w:rsid w:val="003F416B"/>
    <w:rsid w:val="004337AC"/>
    <w:rsid w:val="00446B63"/>
    <w:rsid w:val="00455179"/>
    <w:rsid w:val="004C36E6"/>
    <w:rsid w:val="004E224F"/>
    <w:rsid w:val="00516598"/>
    <w:rsid w:val="00556FF7"/>
    <w:rsid w:val="00587A4B"/>
    <w:rsid w:val="005E4876"/>
    <w:rsid w:val="006206A7"/>
    <w:rsid w:val="00636094"/>
    <w:rsid w:val="0066498E"/>
    <w:rsid w:val="0072534A"/>
    <w:rsid w:val="007915A0"/>
    <w:rsid w:val="008100F8"/>
    <w:rsid w:val="00825F29"/>
    <w:rsid w:val="009A4C1F"/>
    <w:rsid w:val="009A71CF"/>
    <w:rsid w:val="009E5BC2"/>
    <w:rsid w:val="009F5E41"/>
    <w:rsid w:val="00A00B16"/>
    <w:rsid w:val="00A376AF"/>
    <w:rsid w:val="00A40B50"/>
    <w:rsid w:val="00AD2FE9"/>
    <w:rsid w:val="00AE2568"/>
    <w:rsid w:val="00B330FA"/>
    <w:rsid w:val="00B55D39"/>
    <w:rsid w:val="00C3403B"/>
    <w:rsid w:val="00C54748"/>
    <w:rsid w:val="00C61915"/>
    <w:rsid w:val="00C65165"/>
    <w:rsid w:val="00C9169C"/>
    <w:rsid w:val="00D12535"/>
    <w:rsid w:val="00D23AB4"/>
    <w:rsid w:val="00D832E4"/>
    <w:rsid w:val="00F409E2"/>
    <w:rsid w:val="00F71509"/>
    <w:rsid w:val="00FC6439"/>
    <w:rsid w:val="00FC7AAB"/>
    <w:rsid w:val="00FF08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6A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AF"/>
    <w:rPr>
      <w:rFonts w:ascii="Lucida Grande" w:hAnsi="Lucida Grande" w:cs="Lucida Grande"/>
      <w:sz w:val="18"/>
      <w:szCs w:val="18"/>
    </w:rPr>
  </w:style>
  <w:style w:type="table" w:styleId="TableGrid">
    <w:name w:val="Table Grid"/>
    <w:basedOn w:val="TableNormal"/>
    <w:uiPriority w:val="59"/>
    <w:rsid w:val="004E224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38B"/>
    <w:pPr>
      <w:tabs>
        <w:tab w:val="center" w:pos="4320"/>
        <w:tab w:val="right" w:pos="8640"/>
      </w:tabs>
      <w:spacing w:after="0"/>
    </w:pPr>
  </w:style>
  <w:style w:type="character" w:customStyle="1" w:styleId="HeaderChar">
    <w:name w:val="Header Char"/>
    <w:basedOn w:val="DefaultParagraphFont"/>
    <w:link w:val="Header"/>
    <w:uiPriority w:val="99"/>
    <w:rsid w:val="0037538B"/>
  </w:style>
  <w:style w:type="paragraph" w:styleId="Footer">
    <w:name w:val="footer"/>
    <w:basedOn w:val="Normal"/>
    <w:link w:val="FooterChar"/>
    <w:uiPriority w:val="99"/>
    <w:unhideWhenUsed/>
    <w:rsid w:val="0037538B"/>
    <w:pPr>
      <w:tabs>
        <w:tab w:val="center" w:pos="4320"/>
        <w:tab w:val="right" w:pos="8640"/>
      </w:tabs>
      <w:spacing w:after="0"/>
    </w:pPr>
  </w:style>
  <w:style w:type="character" w:customStyle="1" w:styleId="FooterChar">
    <w:name w:val="Footer Char"/>
    <w:basedOn w:val="DefaultParagraphFont"/>
    <w:link w:val="Footer"/>
    <w:uiPriority w:val="99"/>
    <w:rsid w:val="0037538B"/>
  </w:style>
  <w:style w:type="character" w:styleId="PageNumber">
    <w:name w:val="page number"/>
    <w:basedOn w:val="DefaultParagraphFont"/>
    <w:uiPriority w:val="99"/>
    <w:semiHidden/>
    <w:unhideWhenUsed/>
    <w:rsid w:val="006360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6A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AF"/>
    <w:rPr>
      <w:rFonts w:ascii="Lucida Grande" w:hAnsi="Lucida Grande" w:cs="Lucida Grande"/>
      <w:sz w:val="18"/>
      <w:szCs w:val="18"/>
    </w:rPr>
  </w:style>
  <w:style w:type="table" w:styleId="TableGrid">
    <w:name w:val="Table Grid"/>
    <w:basedOn w:val="TableNormal"/>
    <w:uiPriority w:val="59"/>
    <w:rsid w:val="004E224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38B"/>
    <w:pPr>
      <w:tabs>
        <w:tab w:val="center" w:pos="4320"/>
        <w:tab w:val="right" w:pos="8640"/>
      </w:tabs>
      <w:spacing w:after="0"/>
    </w:pPr>
  </w:style>
  <w:style w:type="character" w:customStyle="1" w:styleId="HeaderChar">
    <w:name w:val="Header Char"/>
    <w:basedOn w:val="DefaultParagraphFont"/>
    <w:link w:val="Header"/>
    <w:uiPriority w:val="99"/>
    <w:rsid w:val="0037538B"/>
  </w:style>
  <w:style w:type="paragraph" w:styleId="Footer">
    <w:name w:val="footer"/>
    <w:basedOn w:val="Normal"/>
    <w:link w:val="FooterChar"/>
    <w:uiPriority w:val="99"/>
    <w:unhideWhenUsed/>
    <w:rsid w:val="0037538B"/>
    <w:pPr>
      <w:tabs>
        <w:tab w:val="center" w:pos="4320"/>
        <w:tab w:val="right" w:pos="8640"/>
      </w:tabs>
      <w:spacing w:after="0"/>
    </w:pPr>
  </w:style>
  <w:style w:type="character" w:customStyle="1" w:styleId="FooterChar">
    <w:name w:val="Footer Char"/>
    <w:basedOn w:val="DefaultParagraphFont"/>
    <w:link w:val="Footer"/>
    <w:uiPriority w:val="99"/>
    <w:rsid w:val="0037538B"/>
  </w:style>
  <w:style w:type="character" w:styleId="PageNumber">
    <w:name w:val="page number"/>
    <w:basedOn w:val="DefaultParagraphFont"/>
    <w:uiPriority w:val="99"/>
    <w:semiHidden/>
    <w:unhideWhenUsed/>
    <w:rsid w:val="0063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Samsung%20840%20Pro:Users:cyrusortizluis:Desktop:EDAD:EDAD%20618:data.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0.0642851414406532"/>
          <c:y val="0.199018082225888"/>
          <c:w val="0.707833552055993"/>
          <c:h val="0.600241511313062"/>
        </c:manualLayout>
      </c:layout>
      <c:lineChart>
        <c:grouping val="standard"/>
        <c:varyColors val="0"/>
        <c:ser>
          <c:idx val="0"/>
          <c:order val="0"/>
          <c:tx>
            <c:strRef>
              <c:f>Sheet1!$B$3</c:f>
              <c:strCache>
                <c:ptCount val="1"/>
                <c:pt idx="0">
                  <c:v>Hispanic/Latino</c:v>
                </c:pt>
              </c:strCache>
            </c:strRef>
          </c:tx>
          <c:marker>
            <c:symbol val="diamond"/>
            <c:size val="6"/>
          </c:marker>
          <c:cat>
            <c:strRef>
              <c:f>Sheet1!$A$4:$A$14</c:f>
              <c:strCache>
                <c:ptCount val="11"/>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strCache>
            </c:strRef>
          </c:cat>
          <c:val>
            <c:numRef>
              <c:f>Sheet1!$B$4:$B$14</c:f>
              <c:numCache>
                <c:formatCode>General</c:formatCode>
                <c:ptCount val="11"/>
                <c:pt idx="0">
                  <c:v>40.9</c:v>
                </c:pt>
                <c:pt idx="1">
                  <c:v>41.5</c:v>
                </c:pt>
                <c:pt idx="2">
                  <c:v>42.7</c:v>
                </c:pt>
                <c:pt idx="3">
                  <c:v>46.3</c:v>
                </c:pt>
                <c:pt idx="4">
                  <c:v>48.0</c:v>
                </c:pt>
                <c:pt idx="5">
                  <c:v>51.0</c:v>
                </c:pt>
                <c:pt idx="6">
                  <c:v>54.0</c:v>
                </c:pt>
                <c:pt idx="7">
                  <c:v>56.0</c:v>
                </c:pt>
                <c:pt idx="8">
                  <c:v>58.0</c:v>
                </c:pt>
                <c:pt idx="9">
                  <c:v>59.0</c:v>
                </c:pt>
                <c:pt idx="10">
                  <c:v>62.2</c:v>
                </c:pt>
              </c:numCache>
            </c:numRef>
          </c:val>
          <c:smooth val="0"/>
        </c:ser>
        <c:ser>
          <c:idx val="1"/>
          <c:order val="1"/>
          <c:tx>
            <c:strRef>
              <c:f>Sheet1!$C$3</c:f>
              <c:strCache>
                <c:ptCount val="1"/>
                <c:pt idx="0">
                  <c:v>Caucasian</c:v>
                </c:pt>
              </c:strCache>
            </c:strRef>
          </c:tx>
          <c:marker>
            <c:symbol val="circle"/>
            <c:size val="6"/>
          </c:marker>
          <c:cat>
            <c:strRef>
              <c:f>Sheet1!$A$4:$A$14</c:f>
              <c:strCache>
                <c:ptCount val="11"/>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strCache>
            </c:strRef>
          </c:cat>
          <c:val>
            <c:numRef>
              <c:f>Sheet1!$C$4:$C$14</c:f>
              <c:numCache>
                <c:formatCode>General</c:formatCode>
                <c:ptCount val="11"/>
                <c:pt idx="0">
                  <c:v>45.1</c:v>
                </c:pt>
                <c:pt idx="1">
                  <c:v>44.4</c:v>
                </c:pt>
                <c:pt idx="2">
                  <c:v>43.5</c:v>
                </c:pt>
                <c:pt idx="3">
                  <c:v>41.2</c:v>
                </c:pt>
                <c:pt idx="4">
                  <c:v>40.0</c:v>
                </c:pt>
                <c:pt idx="5">
                  <c:v>36.6</c:v>
                </c:pt>
                <c:pt idx="6">
                  <c:v>34.8</c:v>
                </c:pt>
                <c:pt idx="7">
                  <c:v>33.9</c:v>
                </c:pt>
                <c:pt idx="8">
                  <c:v>31.3</c:v>
                </c:pt>
                <c:pt idx="9">
                  <c:v>29.7</c:v>
                </c:pt>
                <c:pt idx="10">
                  <c:v>27.6</c:v>
                </c:pt>
              </c:numCache>
            </c:numRef>
          </c:val>
          <c:smooth val="0"/>
        </c:ser>
        <c:ser>
          <c:idx val="2"/>
          <c:order val="2"/>
          <c:tx>
            <c:strRef>
              <c:f>Sheet1!$D$3</c:f>
              <c:strCache>
                <c:ptCount val="1"/>
                <c:pt idx="0">
                  <c:v>Other</c:v>
                </c:pt>
              </c:strCache>
            </c:strRef>
          </c:tx>
          <c:marker>
            <c:symbol val="triangle"/>
            <c:size val="6"/>
          </c:marker>
          <c:cat>
            <c:strRef>
              <c:f>Sheet1!$A$4:$A$14</c:f>
              <c:strCache>
                <c:ptCount val="11"/>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strCache>
            </c:strRef>
          </c:cat>
          <c:val>
            <c:numRef>
              <c:f>Sheet1!$D$4:$D$14</c:f>
              <c:numCache>
                <c:formatCode>General</c:formatCode>
                <c:ptCount val="11"/>
                <c:pt idx="0">
                  <c:v>14.0</c:v>
                </c:pt>
                <c:pt idx="1">
                  <c:v>14.1</c:v>
                </c:pt>
                <c:pt idx="2">
                  <c:v>13.8</c:v>
                </c:pt>
                <c:pt idx="3">
                  <c:v>12.5</c:v>
                </c:pt>
                <c:pt idx="4">
                  <c:v>12.0</c:v>
                </c:pt>
                <c:pt idx="5">
                  <c:v>12.4</c:v>
                </c:pt>
                <c:pt idx="6">
                  <c:v>11.2</c:v>
                </c:pt>
                <c:pt idx="7">
                  <c:v>10.1</c:v>
                </c:pt>
                <c:pt idx="8">
                  <c:v>10.7</c:v>
                </c:pt>
                <c:pt idx="9">
                  <c:v>11.3</c:v>
                </c:pt>
                <c:pt idx="10">
                  <c:v>10.2</c:v>
                </c:pt>
              </c:numCache>
            </c:numRef>
          </c:val>
          <c:smooth val="0"/>
        </c:ser>
        <c:dLbls>
          <c:showLegendKey val="0"/>
          <c:showVal val="0"/>
          <c:showCatName val="0"/>
          <c:showSerName val="0"/>
          <c:showPercent val="0"/>
          <c:showBubbleSize val="0"/>
        </c:dLbls>
        <c:marker val="1"/>
        <c:smooth val="0"/>
        <c:axId val="2114420552"/>
        <c:axId val="2117221272"/>
      </c:lineChart>
      <c:catAx>
        <c:axId val="2114420552"/>
        <c:scaling>
          <c:orientation val="minMax"/>
        </c:scaling>
        <c:delete val="0"/>
        <c:axPos val="b"/>
        <c:majorTickMark val="out"/>
        <c:minorTickMark val="none"/>
        <c:tickLblPos val="nextTo"/>
        <c:txPr>
          <a:bodyPr/>
          <a:lstStyle/>
          <a:p>
            <a:pPr>
              <a:defRPr sz="900"/>
            </a:pPr>
            <a:endParaRPr lang="en-US"/>
          </a:p>
        </c:txPr>
        <c:crossAx val="2117221272"/>
        <c:crosses val="autoZero"/>
        <c:auto val="1"/>
        <c:lblAlgn val="ctr"/>
        <c:lblOffset val="100"/>
        <c:noMultiLvlLbl val="0"/>
      </c:catAx>
      <c:valAx>
        <c:axId val="2117221272"/>
        <c:scaling>
          <c:orientation val="minMax"/>
        </c:scaling>
        <c:delete val="0"/>
        <c:axPos val="l"/>
        <c:numFmt formatCode="General" sourceLinked="1"/>
        <c:majorTickMark val="out"/>
        <c:minorTickMark val="none"/>
        <c:tickLblPos val="nextTo"/>
        <c:crossAx val="21144205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0769173564842856"/>
          <c:y val="0.0670103092783505"/>
          <c:w val="0.770202402584292"/>
          <c:h val="0.678694699245069"/>
        </c:manualLayout>
      </c:layout>
      <c:barChart>
        <c:barDir val="col"/>
        <c:grouping val="clustered"/>
        <c:varyColors val="0"/>
        <c:ser>
          <c:idx val="0"/>
          <c:order val="0"/>
          <c:tx>
            <c:strRef>
              <c:f>Sheet1!$B$1</c:f>
              <c:strCache>
                <c:ptCount val="1"/>
                <c:pt idx="0">
                  <c:v>9th grade</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strRef>
              <c:f>Sheet1!$A$2:$A$5</c:f>
              <c:strCache>
                <c:ptCount val="4"/>
                <c:pt idx="0">
                  <c:v>Economically disadvantaged</c:v>
                </c:pt>
                <c:pt idx="1">
                  <c:v>Economically disadvantaged Hispanic/Latino</c:v>
                </c:pt>
                <c:pt idx="2">
                  <c:v>Not economically disadvantaged</c:v>
                </c:pt>
                <c:pt idx="3">
                  <c:v>Not economically disadvantaged Hispanic/Latino</c:v>
                </c:pt>
              </c:strCache>
            </c:strRef>
          </c:cat>
          <c:val>
            <c:numRef>
              <c:f>Sheet1!$B$2:$B$5</c:f>
              <c:numCache>
                <c:formatCode>0%</c:formatCode>
                <c:ptCount val="4"/>
                <c:pt idx="0">
                  <c:v>0.631</c:v>
                </c:pt>
                <c:pt idx="1">
                  <c:v>0.52</c:v>
                </c:pt>
                <c:pt idx="2">
                  <c:v>0.834</c:v>
                </c:pt>
                <c:pt idx="3">
                  <c:v>0.69</c:v>
                </c:pt>
              </c:numCache>
            </c:numRef>
          </c:val>
        </c:ser>
        <c:ser>
          <c:idx val="1"/>
          <c:order val="1"/>
          <c:tx>
            <c:strRef>
              <c:f>Sheet1!$C$1</c:f>
              <c:strCache>
                <c:ptCount val="1"/>
                <c:pt idx="0">
                  <c:v>10th grade</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strRef>
              <c:f>Sheet1!$A$2:$A$5</c:f>
              <c:strCache>
                <c:ptCount val="4"/>
                <c:pt idx="0">
                  <c:v>Economically disadvantaged</c:v>
                </c:pt>
                <c:pt idx="1">
                  <c:v>Economically disadvantaged Hispanic/Latino</c:v>
                </c:pt>
                <c:pt idx="2">
                  <c:v>Not economically disadvantaged</c:v>
                </c:pt>
                <c:pt idx="3">
                  <c:v>Not economically disadvantaged Hispanic/Latino</c:v>
                </c:pt>
              </c:strCache>
            </c:strRef>
          </c:cat>
          <c:val>
            <c:numRef>
              <c:f>Sheet1!$C$2:$C$5</c:f>
              <c:numCache>
                <c:formatCode>0%</c:formatCode>
                <c:ptCount val="4"/>
                <c:pt idx="0">
                  <c:v>0.706</c:v>
                </c:pt>
                <c:pt idx="1">
                  <c:v>0.33</c:v>
                </c:pt>
                <c:pt idx="2">
                  <c:v>0.779</c:v>
                </c:pt>
                <c:pt idx="3">
                  <c:v>0.52</c:v>
                </c:pt>
              </c:numCache>
            </c:numRef>
          </c:val>
        </c:ser>
        <c:ser>
          <c:idx val="2"/>
          <c:order val="2"/>
          <c:tx>
            <c:strRef>
              <c:f>Sheet1!$D$1</c:f>
              <c:strCache>
                <c:ptCount val="1"/>
                <c:pt idx="0">
                  <c:v>11th grade</c:v>
                </c:pt>
              </c:strCache>
            </c:strRef>
          </c:tx>
          <c:invertIfNegative val="0"/>
          <c:dLbls>
            <c:txPr>
              <a:bodyPr/>
              <a:lstStyle/>
              <a:p>
                <a:pPr>
                  <a:defRPr sz="900"/>
                </a:pPr>
                <a:endParaRPr lang="en-US"/>
              </a:p>
            </c:txPr>
            <c:showLegendKey val="0"/>
            <c:showVal val="1"/>
            <c:showCatName val="0"/>
            <c:showSerName val="0"/>
            <c:showPercent val="0"/>
            <c:showBubbleSize val="0"/>
            <c:showLeaderLines val="0"/>
          </c:dLbls>
          <c:cat>
            <c:strRef>
              <c:f>Sheet1!$A$2:$A$5</c:f>
              <c:strCache>
                <c:ptCount val="4"/>
                <c:pt idx="0">
                  <c:v>Economically disadvantaged</c:v>
                </c:pt>
                <c:pt idx="1">
                  <c:v>Economically disadvantaged Hispanic/Latino</c:v>
                </c:pt>
                <c:pt idx="2">
                  <c:v>Not economically disadvantaged</c:v>
                </c:pt>
                <c:pt idx="3">
                  <c:v>Not economically disadvantaged Hispanic/Latino</c:v>
                </c:pt>
              </c:strCache>
            </c:strRef>
          </c:cat>
          <c:val>
            <c:numRef>
              <c:f>Sheet1!$D$2:$D$5</c:f>
              <c:numCache>
                <c:formatCode>0%</c:formatCode>
                <c:ptCount val="4"/>
                <c:pt idx="0">
                  <c:v>0.527</c:v>
                </c:pt>
                <c:pt idx="1">
                  <c:v>0.33</c:v>
                </c:pt>
                <c:pt idx="2">
                  <c:v>0.722</c:v>
                </c:pt>
                <c:pt idx="3">
                  <c:v>0.48</c:v>
                </c:pt>
              </c:numCache>
            </c:numRef>
          </c:val>
        </c:ser>
        <c:dLbls>
          <c:showLegendKey val="0"/>
          <c:showVal val="1"/>
          <c:showCatName val="0"/>
          <c:showSerName val="0"/>
          <c:showPercent val="0"/>
          <c:showBubbleSize val="0"/>
        </c:dLbls>
        <c:gapWidth val="150"/>
        <c:axId val="2058455736"/>
        <c:axId val="2119633080"/>
      </c:barChart>
      <c:catAx>
        <c:axId val="2058455736"/>
        <c:scaling>
          <c:orientation val="minMax"/>
        </c:scaling>
        <c:delete val="0"/>
        <c:axPos val="b"/>
        <c:majorTickMark val="out"/>
        <c:minorTickMark val="none"/>
        <c:tickLblPos val="nextTo"/>
        <c:crossAx val="2119633080"/>
        <c:crosses val="autoZero"/>
        <c:auto val="1"/>
        <c:lblAlgn val="ctr"/>
        <c:lblOffset val="100"/>
        <c:noMultiLvlLbl val="0"/>
      </c:catAx>
      <c:valAx>
        <c:axId val="2119633080"/>
        <c:scaling>
          <c:orientation val="minMax"/>
        </c:scaling>
        <c:delete val="0"/>
        <c:axPos val="l"/>
        <c:numFmt formatCode="0%" sourceLinked="1"/>
        <c:majorTickMark val="in"/>
        <c:minorTickMark val="none"/>
        <c:tickLblPos val="nextTo"/>
        <c:crossAx val="20584557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9th grade</c:v>
                </c:pt>
              </c:strCache>
            </c:strRef>
          </c:tx>
          <c:invertIfNegative val="0"/>
          <c:cat>
            <c:strRef>
              <c:f>Sheet1!$A$2:$A$5</c:f>
              <c:strCache>
                <c:ptCount val="4"/>
                <c:pt idx="0">
                  <c:v>Economically disadvantaged</c:v>
                </c:pt>
                <c:pt idx="1">
                  <c:v>Economically disadvantaged Hispanic or Latino</c:v>
                </c:pt>
                <c:pt idx="2">
                  <c:v>Not economically disadvantaged</c:v>
                </c:pt>
                <c:pt idx="3">
                  <c:v>Not economically disadvantaged Hispanic or Latino</c:v>
                </c:pt>
              </c:strCache>
            </c:strRef>
          </c:cat>
          <c:val>
            <c:numRef>
              <c:f>Sheet1!$B$2:$B$5</c:f>
              <c:numCache>
                <c:formatCode>0%</c:formatCode>
                <c:ptCount val="4"/>
                <c:pt idx="0">
                  <c:v>0.091</c:v>
                </c:pt>
                <c:pt idx="1">
                  <c:v>0.04</c:v>
                </c:pt>
                <c:pt idx="2">
                  <c:v>0.108</c:v>
                </c:pt>
                <c:pt idx="3">
                  <c:v>0.09</c:v>
                </c:pt>
              </c:numCache>
            </c:numRef>
          </c:val>
        </c:ser>
        <c:ser>
          <c:idx val="1"/>
          <c:order val="1"/>
          <c:tx>
            <c:strRef>
              <c:f>Sheet1!$C$1</c:f>
              <c:strCache>
                <c:ptCount val="1"/>
                <c:pt idx="0">
                  <c:v>10th grade</c:v>
                </c:pt>
              </c:strCache>
            </c:strRef>
          </c:tx>
          <c:invertIfNegative val="0"/>
          <c:cat>
            <c:strRef>
              <c:f>Sheet1!$A$2:$A$5</c:f>
              <c:strCache>
                <c:ptCount val="4"/>
                <c:pt idx="0">
                  <c:v>Economically disadvantaged</c:v>
                </c:pt>
                <c:pt idx="1">
                  <c:v>Economically disadvantaged Hispanic or Latino</c:v>
                </c:pt>
                <c:pt idx="2">
                  <c:v>Not economically disadvantaged</c:v>
                </c:pt>
                <c:pt idx="3">
                  <c:v>Not economically disadvantaged Hispanic or Latino</c:v>
                </c:pt>
              </c:strCache>
            </c:strRef>
          </c:cat>
          <c:val>
            <c:numRef>
              <c:f>Sheet1!$C$2:$C$5</c:f>
              <c:numCache>
                <c:formatCode>0%</c:formatCode>
                <c:ptCount val="4"/>
                <c:pt idx="0">
                  <c:v>0.02</c:v>
                </c:pt>
                <c:pt idx="1">
                  <c:v>0.02</c:v>
                </c:pt>
                <c:pt idx="2">
                  <c:v>0.0</c:v>
                </c:pt>
                <c:pt idx="3">
                  <c:v>0.0</c:v>
                </c:pt>
              </c:numCache>
            </c:numRef>
          </c:val>
        </c:ser>
        <c:ser>
          <c:idx val="2"/>
          <c:order val="2"/>
          <c:tx>
            <c:strRef>
              <c:f>Sheet1!$D$1</c:f>
              <c:strCache>
                <c:ptCount val="1"/>
                <c:pt idx="0">
                  <c:v>11th grade</c:v>
                </c:pt>
              </c:strCache>
            </c:strRef>
          </c:tx>
          <c:invertIfNegative val="0"/>
          <c:cat>
            <c:strRef>
              <c:f>Sheet1!$A$2:$A$5</c:f>
              <c:strCache>
                <c:ptCount val="4"/>
                <c:pt idx="0">
                  <c:v>Economically disadvantaged</c:v>
                </c:pt>
                <c:pt idx="1">
                  <c:v>Economically disadvantaged Hispanic or Latino</c:v>
                </c:pt>
                <c:pt idx="2">
                  <c:v>Not economically disadvantaged</c:v>
                </c:pt>
                <c:pt idx="3">
                  <c:v>Not economically disadvantaged Hispanic or Latino</c:v>
                </c:pt>
              </c:strCache>
            </c:strRef>
          </c:cat>
          <c:val>
            <c:numRef>
              <c:f>Sheet1!$D$2:$D$5</c:f>
              <c:numCache>
                <c:formatCode>0%</c:formatCode>
                <c:ptCount val="4"/>
                <c:pt idx="0">
                  <c:v>0.02</c:v>
                </c:pt>
                <c:pt idx="1">
                  <c:v>0.02</c:v>
                </c:pt>
                <c:pt idx="2">
                  <c:v>0.0</c:v>
                </c:pt>
                <c:pt idx="3" formatCode="General">
                  <c:v>0.0</c:v>
                </c:pt>
              </c:numCache>
            </c:numRef>
          </c:val>
        </c:ser>
        <c:dLbls>
          <c:showLegendKey val="0"/>
          <c:showVal val="1"/>
          <c:showCatName val="0"/>
          <c:showSerName val="0"/>
          <c:showPercent val="0"/>
          <c:showBubbleSize val="0"/>
        </c:dLbls>
        <c:gapWidth val="150"/>
        <c:axId val="2120745880"/>
        <c:axId val="2120748856"/>
      </c:barChart>
      <c:catAx>
        <c:axId val="2120745880"/>
        <c:scaling>
          <c:orientation val="minMax"/>
        </c:scaling>
        <c:delete val="0"/>
        <c:axPos val="b"/>
        <c:numFmt formatCode="General" sourceLinked="1"/>
        <c:majorTickMark val="out"/>
        <c:minorTickMark val="none"/>
        <c:tickLblPos val="nextTo"/>
        <c:crossAx val="2120748856"/>
        <c:crosses val="autoZero"/>
        <c:auto val="1"/>
        <c:lblAlgn val="ctr"/>
        <c:lblOffset val="100"/>
        <c:noMultiLvlLbl val="0"/>
      </c:catAx>
      <c:valAx>
        <c:axId val="2120748856"/>
        <c:scaling>
          <c:orientation val="minMax"/>
        </c:scaling>
        <c:delete val="0"/>
        <c:axPos val="l"/>
        <c:numFmt formatCode="0%" sourceLinked="1"/>
        <c:majorTickMark val="in"/>
        <c:minorTickMark val="none"/>
        <c:tickLblPos val="nextTo"/>
        <c:crossAx val="21207458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0845703922426363"/>
          <c:y val="0.0714285714285714"/>
          <c:w val="0.703513050452027"/>
          <c:h val="0.705026871641045"/>
        </c:manualLayout>
      </c:layout>
      <c:barChart>
        <c:barDir val="col"/>
        <c:grouping val="clustered"/>
        <c:varyColors val="0"/>
        <c:ser>
          <c:idx val="0"/>
          <c:order val="0"/>
          <c:tx>
            <c:strRef>
              <c:f>Sheet1!$B$1</c:f>
              <c:strCache>
                <c:ptCount val="1"/>
                <c:pt idx="0">
                  <c:v>9th grade</c:v>
                </c:pt>
              </c:strCache>
            </c:strRef>
          </c:tx>
          <c:invertIfNegative val="0"/>
          <c:cat>
            <c:strRef>
              <c:f>Sheet1!$A$2:$A$5</c:f>
              <c:strCache>
                <c:ptCount val="4"/>
                <c:pt idx="0">
                  <c:v>Economically disadvantaged</c:v>
                </c:pt>
                <c:pt idx="1">
                  <c:v>Economically disadvantaged Hispanic or Latino</c:v>
                </c:pt>
                <c:pt idx="2">
                  <c:v>Not economically disadvatanged</c:v>
                </c:pt>
                <c:pt idx="3">
                  <c:v>Not economically disadvantaged Hispanic or Latino</c:v>
                </c:pt>
              </c:strCache>
            </c:strRef>
          </c:cat>
          <c:val>
            <c:numRef>
              <c:f>Sheet1!$B$2:$B$5</c:f>
              <c:numCache>
                <c:formatCode>0%</c:formatCode>
                <c:ptCount val="4"/>
                <c:pt idx="0">
                  <c:v>0.25</c:v>
                </c:pt>
                <c:pt idx="1">
                  <c:v>0.18</c:v>
                </c:pt>
                <c:pt idx="2">
                  <c:v>0.552</c:v>
                </c:pt>
                <c:pt idx="3">
                  <c:v>0.2</c:v>
                </c:pt>
              </c:numCache>
            </c:numRef>
          </c:val>
        </c:ser>
        <c:ser>
          <c:idx val="1"/>
          <c:order val="1"/>
          <c:tx>
            <c:strRef>
              <c:f>Sheet1!$C$1</c:f>
              <c:strCache>
                <c:ptCount val="1"/>
                <c:pt idx="0">
                  <c:v>10th grade</c:v>
                </c:pt>
              </c:strCache>
            </c:strRef>
          </c:tx>
          <c:invertIfNegative val="0"/>
          <c:cat>
            <c:strRef>
              <c:f>Sheet1!$A$2:$A$5</c:f>
              <c:strCache>
                <c:ptCount val="4"/>
                <c:pt idx="0">
                  <c:v>Economically disadvantaged</c:v>
                </c:pt>
                <c:pt idx="1">
                  <c:v>Economically disadvantaged Hispanic or Latino</c:v>
                </c:pt>
                <c:pt idx="2">
                  <c:v>Not economically disadvatanged</c:v>
                </c:pt>
                <c:pt idx="3">
                  <c:v>Not economically disadvantaged Hispanic or Latino</c:v>
                </c:pt>
              </c:strCache>
            </c:strRef>
          </c:cat>
          <c:val>
            <c:numRef>
              <c:f>Sheet1!$C$2:$C$5</c:f>
              <c:numCache>
                <c:formatCode>0%</c:formatCode>
                <c:ptCount val="4"/>
                <c:pt idx="0">
                  <c:v>0.09</c:v>
                </c:pt>
                <c:pt idx="1">
                  <c:v>0.02</c:v>
                </c:pt>
                <c:pt idx="2">
                  <c:v>0.106</c:v>
                </c:pt>
                <c:pt idx="3">
                  <c:v>0.09</c:v>
                </c:pt>
              </c:numCache>
            </c:numRef>
          </c:val>
        </c:ser>
        <c:ser>
          <c:idx val="2"/>
          <c:order val="2"/>
          <c:tx>
            <c:strRef>
              <c:f>Sheet1!$D$1</c:f>
              <c:strCache>
                <c:ptCount val="1"/>
                <c:pt idx="0">
                  <c:v>11th grade</c:v>
                </c:pt>
              </c:strCache>
            </c:strRef>
          </c:tx>
          <c:invertIfNegative val="0"/>
          <c:cat>
            <c:strRef>
              <c:f>Sheet1!$A$2:$A$5</c:f>
              <c:strCache>
                <c:ptCount val="4"/>
                <c:pt idx="0">
                  <c:v>Economically disadvantaged</c:v>
                </c:pt>
                <c:pt idx="1">
                  <c:v>Economically disadvantaged Hispanic or Latino</c:v>
                </c:pt>
                <c:pt idx="2">
                  <c:v>Not economically disadvatanged</c:v>
                </c:pt>
                <c:pt idx="3">
                  <c:v>Not economically disadvantaged Hispanic or Latino</c:v>
                </c:pt>
              </c:strCache>
            </c:strRef>
          </c:cat>
          <c:val>
            <c:numRef>
              <c:f>Sheet1!$D$2:$D$5</c:f>
              <c:numCache>
                <c:formatCode>0%</c:formatCode>
                <c:ptCount val="4"/>
                <c:pt idx="0">
                  <c:v>0.0</c:v>
                </c:pt>
                <c:pt idx="1">
                  <c:v>0.0</c:v>
                </c:pt>
                <c:pt idx="2">
                  <c:v>0.156</c:v>
                </c:pt>
                <c:pt idx="3" formatCode="General">
                  <c:v>0.0</c:v>
                </c:pt>
              </c:numCache>
            </c:numRef>
          </c:val>
        </c:ser>
        <c:dLbls>
          <c:showLegendKey val="0"/>
          <c:showVal val="1"/>
          <c:showCatName val="0"/>
          <c:showSerName val="0"/>
          <c:showPercent val="0"/>
          <c:showBubbleSize val="0"/>
        </c:dLbls>
        <c:gapWidth val="150"/>
        <c:axId val="2116472808"/>
        <c:axId val="2118622504"/>
      </c:barChart>
      <c:catAx>
        <c:axId val="2116472808"/>
        <c:scaling>
          <c:orientation val="minMax"/>
        </c:scaling>
        <c:delete val="0"/>
        <c:axPos val="b"/>
        <c:majorTickMark val="out"/>
        <c:minorTickMark val="none"/>
        <c:tickLblPos val="nextTo"/>
        <c:crossAx val="2118622504"/>
        <c:crosses val="autoZero"/>
        <c:auto val="1"/>
        <c:lblAlgn val="ctr"/>
        <c:lblOffset val="100"/>
        <c:noMultiLvlLbl val="0"/>
      </c:catAx>
      <c:valAx>
        <c:axId val="2118622504"/>
        <c:scaling>
          <c:orientation val="minMax"/>
        </c:scaling>
        <c:delete val="0"/>
        <c:axPos val="l"/>
        <c:numFmt formatCode="0%" sourceLinked="1"/>
        <c:majorTickMark val="in"/>
        <c:minorTickMark val="none"/>
        <c:tickLblPos val="nextTo"/>
        <c:crossAx val="2116472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5574988967087"/>
          <c:y val="0.0714285714285714"/>
          <c:w val="0.855465124381576"/>
          <c:h val="0.705026871641045"/>
        </c:manualLayout>
      </c:layout>
      <c:barChart>
        <c:barDir val="col"/>
        <c:grouping val="stacked"/>
        <c:varyColors val="0"/>
        <c:ser>
          <c:idx val="0"/>
          <c:order val="0"/>
          <c:tx>
            <c:strRef>
              <c:f>Sheet1!$B$1</c:f>
              <c:strCache>
                <c:ptCount val="1"/>
                <c:pt idx="0">
                  <c:v>Series 1</c:v>
                </c:pt>
              </c:strCache>
            </c:strRef>
          </c:tx>
          <c:invertIfNegative val="0"/>
          <c:dLbls>
            <c:dLbl>
              <c:idx val="0"/>
              <c:layout>
                <c:manualLayout>
                  <c:x val="-0.0127226463104326"/>
                  <c:y val="-0.341346153846154"/>
                </c:manualLayout>
              </c:layout>
              <c:showLegendKey val="0"/>
              <c:showVal val="1"/>
              <c:showCatName val="0"/>
              <c:showSerName val="0"/>
              <c:showPercent val="0"/>
              <c:showBubbleSize val="0"/>
            </c:dLbl>
            <c:dLbl>
              <c:idx val="1"/>
              <c:layout>
                <c:manualLayout>
                  <c:x val="-0.0111856823266219"/>
                  <c:y val="-0.264423076923077"/>
                </c:manualLayout>
              </c:layout>
              <c:showLegendKey val="0"/>
              <c:showVal val="1"/>
              <c:showCatName val="0"/>
              <c:showSerName val="0"/>
              <c:showPercent val="0"/>
              <c:showBubbleSize val="0"/>
            </c:dLbl>
            <c:dLbl>
              <c:idx val="2"/>
              <c:layout>
                <c:manualLayout>
                  <c:x val="0.0130298226144551"/>
                  <c:y val="-0.365384615384615"/>
                </c:manualLayout>
              </c:layout>
              <c:showLegendKey val="0"/>
              <c:showVal val="1"/>
              <c:showCatName val="0"/>
              <c:showSerName val="0"/>
              <c:showPercent val="0"/>
              <c:showBubbleSize val="0"/>
            </c:dLbl>
            <c:dLbl>
              <c:idx val="3"/>
              <c:layout>
                <c:manualLayout>
                  <c:x val="-0.0127226463104327"/>
                  <c:y val="-0.32211538461538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Economically disadvantaged</c:v>
                </c:pt>
                <c:pt idx="1">
                  <c:v>Economically disadvantaged Hispanic/Latino</c:v>
                </c:pt>
                <c:pt idx="2">
                  <c:v>Not economically disadvantaged</c:v>
                </c:pt>
                <c:pt idx="3">
                  <c:v>Not economically disadvantaged Hispanic/Latino</c:v>
                </c:pt>
              </c:strCache>
            </c:strRef>
          </c:cat>
          <c:val>
            <c:numRef>
              <c:f>Sheet1!$B$2:$B$5</c:f>
              <c:numCache>
                <c:formatCode>0.0%</c:formatCode>
                <c:ptCount val="4"/>
                <c:pt idx="0">
                  <c:v>0.517</c:v>
                </c:pt>
                <c:pt idx="1">
                  <c:v>0.33</c:v>
                </c:pt>
                <c:pt idx="2">
                  <c:v>0.642</c:v>
                </c:pt>
                <c:pt idx="3">
                  <c:v>0.56</c:v>
                </c:pt>
              </c:numCache>
            </c:numRef>
          </c:val>
        </c:ser>
        <c:dLbls>
          <c:showLegendKey val="0"/>
          <c:showVal val="1"/>
          <c:showCatName val="0"/>
          <c:showSerName val="0"/>
          <c:showPercent val="0"/>
          <c:showBubbleSize val="0"/>
        </c:dLbls>
        <c:gapWidth val="300"/>
        <c:overlap val="78"/>
        <c:axId val="2114422040"/>
        <c:axId val="2111975864"/>
      </c:barChart>
      <c:catAx>
        <c:axId val="2114422040"/>
        <c:scaling>
          <c:orientation val="minMax"/>
        </c:scaling>
        <c:delete val="0"/>
        <c:axPos val="b"/>
        <c:majorTickMark val="out"/>
        <c:minorTickMark val="none"/>
        <c:tickLblPos val="nextTo"/>
        <c:crossAx val="2111975864"/>
        <c:crosses val="autoZero"/>
        <c:auto val="1"/>
        <c:lblAlgn val="ctr"/>
        <c:lblOffset val="100"/>
        <c:noMultiLvlLbl val="0"/>
      </c:catAx>
      <c:valAx>
        <c:axId val="2111975864"/>
        <c:scaling>
          <c:orientation val="minMax"/>
        </c:scaling>
        <c:delete val="0"/>
        <c:axPos val="l"/>
        <c:numFmt formatCode="0.0%" sourceLinked="1"/>
        <c:majorTickMark val="in"/>
        <c:minorTickMark val="none"/>
        <c:tickLblPos val="nextTo"/>
        <c:crossAx val="21144220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A608-1688-124E-9000-FF982F79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1059</Words>
  <Characters>6039</Characters>
  <Application>Microsoft Macintosh Word</Application>
  <DocSecurity>0</DocSecurity>
  <Lines>50</Lines>
  <Paragraphs>14</Paragraphs>
  <ScaleCrop>false</ScaleCrop>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Ortiz-Luis</dc:creator>
  <cp:keywords/>
  <dc:description/>
  <cp:lastModifiedBy>Cyrus Ortiz-Luis</cp:lastModifiedBy>
  <cp:revision>3</cp:revision>
  <dcterms:created xsi:type="dcterms:W3CDTF">2013-09-30T16:57:00Z</dcterms:created>
  <dcterms:modified xsi:type="dcterms:W3CDTF">2013-11-11T22:16:00Z</dcterms:modified>
</cp:coreProperties>
</file>